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3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к договору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№ ____________________ от ___________________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г.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center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Критерии отбора Банков – Гарантов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360"/>
        <w:jc w:val="center"/>
        <w:spacing w:after="160" w:line="264" w:lineRule="auto"/>
        <w:rPr>
          <w:rFonts w:ascii="Times New Roman" w:hAnsi="Times New Roman" w:eastAsia="Calibri" w:cs="Times New Roman"/>
          <w:sz w:val="26"/>
          <w:szCs w:val="26"/>
          <w:highlight w:val="yellow"/>
        </w:rPr>
      </w:pPr>
      <w:r>
        <w:rPr>
          <w:rFonts w:ascii="Times New Roman" w:hAnsi="Times New Roman" w:eastAsia="Calibri" w:cs="Times New Roman"/>
          <w:sz w:val="26"/>
          <w:szCs w:val="26"/>
          <w:highlight w:val="yellow"/>
        </w:rPr>
      </w:r>
      <w:r>
        <w:rPr>
          <w:rFonts w:ascii="Times New Roman" w:hAnsi="Times New Roman" w:eastAsia="Calibri" w:cs="Times New Roman"/>
          <w:sz w:val="26"/>
          <w:szCs w:val="26"/>
          <w:highlight w:val="yellow"/>
        </w:rPr>
      </w:r>
      <w:r>
        <w:rPr>
          <w:rFonts w:ascii="Times New Roman" w:hAnsi="Times New Roman" w:eastAsia="Calibri" w:cs="Times New Roman"/>
          <w:sz w:val="26"/>
          <w:szCs w:val="26"/>
          <w:highlight w:val="yellow"/>
        </w:rPr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Банк-Гарант (кредитная организация), выдающий банковскую гарантию, должен входить в перечень Банков-Гарантов Группы </w:t>
      </w:r>
      <w:r>
        <w:rPr>
          <w:rFonts w:ascii="Times New Roman" w:hAnsi="Times New Roman" w:cs="Times New Roman"/>
          <w:sz w:val="28"/>
          <w:szCs w:val="28"/>
        </w:rPr>
        <w:t xml:space="preserve">РусГидро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, а также соответствовать следующим критериям: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142" w:hanging="284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142" w:hanging="284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Присутствовать в Перечне кредитных организаций, 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требованиям, установленным ч. 1 ст. 2 Федерального закона от 21.07.2014 № 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</w:t>
      </w:r>
      <w:r>
        <w:rPr>
          <w:rFonts w:ascii="Times New Roman" w:hAnsi="Times New Roman" w:cs="Times New Roman"/>
          <w:sz w:val="28"/>
          <w:szCs w:val="28"/>
        </w:rPr>
        <w:t xml:space="preserve">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142" w:hanging="142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собственные средства (капитал) в размере не менее 30 млрд. рублей на 01 января</w:t>
      </w:r>
      <w:r>
        <w:rPr>
          <w:rFonts w:ascii="Times New Roman" w:hAnsi="Times New Roman" w:cs="Times New Roman"/>
          <w:sz w:val="28"/>
          <w:szCs w:val="28"/>
        </w:rPr>
        <w:t xml:space="preserve">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284" w:hanging="142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кредитный рейтинг по национальной шкале не ниже уровня «BBB» рейтингового агентства АКРА или не ниже уровня «</w:t>
      </w:r>
      <w:r>
        <w:rPr>
          <w:rFonts w:ascii="Times New Roman" w:hAnsi="Times New Roman" w:cs="Times New Roman"/>
          <w:sz w:val="28"/>
          <w:szCs w:val="28"/>
        </w:rPr>
        <w:t xml:space="preserve">ruBBB</w:t>
      </w:r>
      <w:r>
        <w:rPr>
          <w:rFonts w:ascii="Times New Roman" w:hAnsi="Times New Roman" w:cs="Times New Roman"/>
          <w:sz w:val="28"/>
          <w:szCs w:val="28"/>
        </w:rPr>
        <w:t xml:space="preserve">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</w:t>
      </w:r>
      <w:r>
        <w:rPr>
          <w:rFonts w:ascii="Times New Roman" w:hAnsi="Times New Roman" w:cs="Times New Roman"/>
          <w:sz w:val="28"/>
          <w:szCs w:val="28"/>
        </w:rPr>
        <w:t xml:space="preserve">Fitch-Ratings</w:t>
      </w:r>
      <w:r>
        <w:rPr>
          <w:rFonts w:ascii="Times New Roman" w:hAnsi="Times New Roman" w:cs="Times New Roman"/>
          <w:sz w:val="28"/>
          <w:szCs w:val="28"/>
        </w:rPr>
        <w:t xml:space="preserve">» или «</w:t>
      </w:r>
      <w:r>
        <w:rPr>
          <w:rFonts w:ascii="Times New Roman" w:hAnsi="Times New Roman" w:cs="Times New Roman"/>
          <w:sz w:val="28"/>
          <w:szCs w:val="28"/>
        </w:rPr>
        <w:t xml:space="preserve">Standard</w:t>
      </w:r>
      <w:r>
        <w:rPr>
          <w:rFonts w:ascii="Times New Roman" w:hAnsi="Times New Roman" w:cs="Times New Roman"/>
          <w:sz w:val="28"/>
          <w:szCs w:val="28"/>
        </w:rPr>
        <w:t xml:space="preserve"> &amp; </w:t>
      </w:r>
      <w:r>
        <w:rPr>
          <w:rFonts w:ascii="Times New Roman" w:hAnsi="Times New Roman" w:cs="Times New Roman"/>
          <w:sz w:val="28"/>
          <w:szCs w:val="28"/>
        </w:rPr>
        <w:t xml:space="preserve">Poor's</w:t>
      </w:r>
      <w:r>
        <w:rPr>
          <w:rFonts w:ascii="Times New Roman" w:hAnsi="Times New Roman" w:cs="Times New Roman"/>
          <w:sz w:val="28"/>
          <w:szCs w:val="28"/>
        </w:rPr>
        <w:t xml:space="preserve">» либо уровня «Bа2» по классификации рейтингового агентства «</w:t>
      </w:r>
      <w:r>
        <w:rPr>
          <w:rFonts w:ascii="Times New Roman" w:hAnsi="Times New Roman" w:cs="Times New Roman"/>
          <w:sz w:val="28"/>
          <w:szCs w:val="28"/>
        </w:rPr>
        <w:t xml:space="preserve">Moody's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Investors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Service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426" w:hanging="284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Федерации»</w:t>
      </w:r>
      <w:r>
        <w:rPr>
          <w:rFonts w:ascii="Times New Roman" w:hAnsi="Times New Roman" w:cs="Times New Roman"/>
          <w:sz w:val="28"/>
          <w:szCs w:val="28"/>
          <w:vertAlign w:val="superscript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426" w:hanging="284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находиться в пр</w:t>
      </w:r>
      <w:r>
        <w:rPr>
          <w:rFonts w:ascii="Times New Roman" w:hAnsi="Times New Roman" w:cs="Times New Roman"/>
          <w:sz w:val="28"/>
          <w:szCs w:val="28"/>
        </w:rPr>
        <w:t xml:space="preserve">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426" w:firstLine="284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иметь просроченную задолженность перед Обществом и компаниями Группы </w:t>
      </w:r>
      <w:r>
        <w:rPr>
          <w:rFonts w:ascii="Times New Roman" w:hAnsi="Times New Roman" w:cs="Times New Roman"/>
          <w:sz w:val="28"/>
          <w:szCs w:val="28"/>
        </w:rPr>
        <w:t xml:space="preserve">РусГидро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567" w:hanging="425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 которого заключается Договор.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ind w:left="567" w:hanging="425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4"/>
        </w:numPr>
        <w:ind w:left="576" w:hanging="434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отношении которых или в отношении лиц, под контролем либо значительным влиянием которых находятся кредитные организации, по состоянию на 01.01.20</w:t>
      </w:r>
      <w:r>
        <w:rPr>
          <w:rFonts w:ascii="Times New Roman" w:hAnsi="Times New Roman" w:cs="Times New Roman"/>
          <w:sz w:val="28"/>
          <w:szCs w:val="28"/>
        </w:rPr>
        <w:t xml:space="preserve">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от 24.12.2011 № 1121</w:t>
      </w:r>
      <w:r>
        <w:rPr>
          <w:rFonts w:ascii="Times New Roman" w:hAnsi="Times New Roman" w:cs="Times New Roman"/>
          <w:sz w:val="28"/>
          <w:szCs w:val="28"/>
        </w:rPr>
        <w:t xml:space="preserve">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4"/>
        </w:numPr>
        <w:ind w:left="567" w:hanging="425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4"/>
        </w:numPr>
        <w:ind w:left="567" w:hanging="141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Утвержденную Наблюдательным советом Асс</w:t>
      </w:r>
      <w:r>
        <w:rPr>
          <w:rFonts w:ascii="Times New Roman" w:hAnsi="Times New Roman" w:cs="Times New Roman"/>
          <w:sz w:val="28"/>
          <w:szCs w:val="28"/>
        </w:rPr>
        <w:t xml:space="preserve">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4"/>
        </w:numPr>
        <w:ind w:left="567" w:hanging="283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ВЭБ.РФ.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1"/>
          <w:numId w:val="3"/>
        </w:num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</w:t>
      </w:r>
      <w:r>
        <w:rPr>
          <w:rFonts w:ascii="Times New Roman" w:hAnsi="Times New Roman" w:cs="Times New Roman"/>
          <w:sz w:val="28"/>
          <w:szCs w:val="28"/>
        </w:rPr>
        <w:t xml:space="preserve">РусГидро</w:t>
      </w:r>
      <w:r>
        <w:rPr>
          <w:rFonts w:ascii="Times New Roman" w:hAnsi="Times New Roman" w:cs="Times New Roman"/>
          <w:sz w:val="28"/>
          <w:szCs w:val="28"/>
        </w:rPr>
        <w:t xml:space="preserve">, не должна превышать размер лимита риска, определяемого по формуле: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Lim</w:t>
      </w:r>
      <w:r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Ai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=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r</w:t>
      </w:r>
      <w:r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×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СK</w:t>
      </w:r>
      <w:r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i</w:t>
      </w:r>
      <w:r>
        <w:rPr>
          <w:rFonts w:ascii="Times New Roman" w:hAnsi="Times New Roman" w:cs="Times New Roman"/>
          <w:sz w:val="28"/>
          <w:szCs w:val="28"/>
        </w:rPr>
        <w:t xml:space="preserve">, где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Lim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 xml:space="preserve">Ai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Лимит риска для i-ой кредитной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5"/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80"/>
        </w:trPr>
        <w:tc>
          <w:tcPr>
            <w:shd w:val="clear" w:color="auto" w:fill="auto"/>
            <w:tcW w:w="817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K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телекоммуникационной сети «Интернет» (</w:t>
            </w:r>
            <w:hyperlink r:id="rId13" w:tooltip="http://www.cbr.ru" w:history="1">
              <w:r>
                <w:rPr>
                  <w:rStyle w:val="957"/>
                  <w:rFonts w:ascii="Times New Roman" w:hAnsi="Times New Roman" w:cs="Times New Roman"/>
                  <w:sz w:val="28"/>
                  <w:szCs w:val="28"/>
                </w:rPr>
                <w:t xml:space="preserve">www.cbr.ru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 xml:space="preserve">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рейтинговый коэффициент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6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i-ой кредитной организации, равный: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0,05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«АА-»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0,025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«А-»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ruA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0,015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если i-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BB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ruBB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953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3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3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53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53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53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53"/>
              <w:spacing w:after="0"/>
            </w:pPr>
            <w:r>
              <w:t xml:space="preserve">________________ </w:t>
            </w:r>
            <w:bookmarkStart w:id="0" w:name="_GoBack"/>
            <w:r/>
            <w:bookmarkEnd w:id="0"/>
            <w:r>
              <w:rPr>
                <w:szCs w:val="20"/>
              </w:rPr>
              <w:t xml:space="preserve">                                                                                                                              </w:t>
            </w:r>
            <w:r>
              <w:t xml:space="preserve">                                                             </w:t>
            </w:r>
            <w:r>
              <w:t xml:space="preserve">____</w:t>
            </w:r>
            <w:r/>
          </w:p>
        </w:tc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953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953"/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3"/>
              <w:spacing w:after="0"/>
            </w:pPr>
            <w:r/>
            <w:r/>
          </w:p>
          <w:p>
            <w:pPr>
              <w:pStyle w:val="953"/>
              <w:spacing w:after="0"/>
            </w:pPr>
            <w:r/>
            <w:r/>
          </w:p>
          <w:p>
            <w:pPr>
              <w:pStyle w:val="953"/>
              <w:spacing w:after="0"/>
            </w:pPr>
            <w:r/>
            <w:r/>
          </w:p>
          <w:p>
            <w:pPr>
              <w:pStyle w:val="953"/>
              <w:spacing w:after="0"/>
            </w:pPr>
            <w:r>
              <w:t xml:space="preserve">________________ </w:t>
            </w:r>
            <w:r/>
          </w:p>
        </w:tc>
      </w:tr>
    </w:tbl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851" w:right="567" w:bottom="1134" w:left="1418" w:header="709" w:footer="397" w:gutter="0"/>
      <w:pgNumType w:start="25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ucida Sans Unicode">
    <w:panose1 w:val="020B0603030804020204"/>
  </w:font>
  <w:font w:name="Times New Roman">
    <w:panose1 w:val="02020603050405020304"/>
  </w:font>
  <w:font w:name="Segoe UI">
    <w:panose1 w:val="020B0503020204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jc w:val="center"/>
      <w:tabs>
        <w:tab w:val="clear" w:pos="4677" w:leader="none"/>
        <w:tab w:val="clear" w:pos="9355" w:leader="none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</w:r>
    <w:r>
      <w:rPr>
        <w:rFonts w:ascii="Times New Roman" w:hAnsi="Times New Roman" w:cs="Times New Roman"/>
        <w:sz w:val="20"/>
      </w:rPr>
    </w:r>
    <w:r>
      <w:rPr>
        <w:rFonts w:ascii="Times New Roman" w:hAnsi="Times New Roman" w:cs="Times New Roman"/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tabs>
        <w:tab w:val="clear" w:pos="4677" w:leader="none"/>
        <w:tab w:val="clear" w:pos="9355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54"/>
        <w:jc w:val="both"/>
      </w:pPr>
      <w:r>
        <w:rPr>
          <w:rStyle w:val="956"/>
        </w:rPr>
        <w:footnoteRef/>
      </w:r>
      <w:r>
        <w:t xml:space="preserve"> Актуальный Перечень Банков-Гарантов Группы </w:t>
      </w:r>
      <w:r>
        <w:t xml:space="preserve">РусГидро</w:t>
      </w:r>
      <w:r>
        <w:t xml:space="preserve"> размещен на официальном сайте Общества http://zakupki.rushydro.ru/PublicContent/Section/6</w:t>
      </w:r>
      <w:r/>
    </w:p>
  </w:footnote>
  <w:footnote w:id="3">
    <w:p>
      <w:pPr>
        <w:pStyle w:val="954"/>
        <w:jc w:val="both"/>
      </w:pPr>
      <w:r>
        <w:rPr>
          <w:rStyle w:val="956"/>
        </w:rPr>
        <w:footnoteRef/>
      </w:r>
      <w:r>
        <w:t xml:space="preserve"> </w:t>
      </w:r>
      <w:r>
        <w:t xml:space="preserve">Если кредитная организация имеет рейтинги креди</w:t>
      </w:r>
      <w:r>
        <w:t xml:space="preserve">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).</w:t>
      </w:r>
      <w:r/>
    </w:p>
  </w:footnote>
  <w:footnote w:id="4">
    <w:p>
      <w:pPr>
        <w:pStyle w:val="954"/>
        <w:jc w:val="both"/>
      </w:pPr>
      <w:r>
        <w:rPr>
          <w:rStyle w:val="956"/>
        </w:rPr>
        <w:footnoteRef/>
      </w:r>
      <w:r>
        <w:t xml:space="preserve"> </w:t>
      </w:r>
      <w:r>
        <w:t xml:space="preserve">Данное требование не применяется в отношении небанковских кредитных организаций</w:t>
      </w:r>
      <w:r>
        <w:t xml:space="preserve">.</w:t>
      </w:r>
      <w:r/>
    </w:p>
  </w:footnote>
  <w:footnote w:id="5">
    <w:p>
      <w:pPr>
        <w:pStyle w:val="954"/>
        <w:jc w:val="both"/>
      </w:pPr>
      <w:r>
        <w:rPr>
          <w:rStyle w:val="956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</w:t>
      </w:r>
      <w:r>
        <w:rPr>
          <w:lang w:eastAsia="en-US"/>
        </w:rPr>
        <w:t xml:space="preserve">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</w:t>
      </w:r>
      <w:r>
        <w:rPr>
          <w:lang w:eastAsia="en-US"/>
        </w:rPr>
        <w:t xml:space="preserve">. </w:t>
      </w:r>
      <w:r>
        <w:rPr>
          <w:lang w:eastAsia="en-US"/>
        </w:rPr>
        <w:t xml:space="preserve">Например, расчетное значение лимита - 5 440 млн. руб., лимит к установлению - 5 400 млн. руб.; расчетное значение лимита - 5 450 млн. руб., лимит к установлению - 5 500 млн. руб.</w:t>
      </w:r>
      <w:r/>
    </w:p>
  </w:footnote>
  <w:footnote w:id="6">
    <w:p>
      <w:pPr>
        <w:pStyle w:val="954"/>
        <w:jc w:val="both"/>
      </w:pPr>
      <w:r>
        <w:rPr>
          <w:rStyle w:val="956"/>
        </w:rPr>
        <w:footnoteRef/>
      </w:r>
      <w:r>
        <w:t xml:space="preserve"> </w:t>
      </w:r>
      <w:r>
        <w:t xml:space="preserve">Если кредитная организация имеет рейтинги креди</w:t>
      </w:r>
      <w:r>
        <w:t xml:space="preserve">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tabs>
        <w:tab w:val="clear" w:pos="4677" w:leader="none"/>
        <w:tab w:val="clear" w:pos="9355" w:leader="none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</w:r>
    <w:r>
      <w:rPr>
        <w:rFonts w:ascii="Times New Roman" w:hAnsi="Times New Roman" w:cs="Times New Roman"/>
        <w:sz w:val="20"/>
      </w:rPr>
    </w:r>
    <w:r>
      <w:rPr>
        <w:rFonts w:ascii="Times New Roman" w:hAnsi="Times New Roman" w:cs="Times New Roman"/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0">
    <w:name w:val="Heading 1"/>
    <w:basedOn w:val="941"/>
    <w:next w:val="941"/>
    <w:link w:val="7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1">
    <w:name w:val="Heading 1 Char"/>
    <w:basedOn w:val="942"/>
    <w:link w:val="770"/>
    <w:uiPriority w:val="9"/>
    <w:rPr>
      <w:rFonts w:ascii="Arial" w:hAnsi="Arial" w:eastAsia="Arial" w:cs="Arial"/>
      <w:sz w:val="40"/>
      <w:szCs w:val="40"/>
    </w:rPr>
  </w:style>
  <w:style w:type="paragraph" w:styleId="772">
    <w:name w:val="Heading 2"/>
    <w:basedOn w:val="941"/>
    <w:next w:val="941"/>
    <w:link w:val="7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3">
    <w:name w:val="Heading 2 Char"/>
    <w:basedOn w:val="942"/>
    <w:link w:val="772"/>
    <w:uiPriority w:val="9"/>
    <w:rPr>
      <w:rFonts w:ascii="Arial" w:hAnsi="Arial" w:eastAsia="Arial" w:cs="Arial"/>
      <w:sz w:val="34"/>
    </w:rPr>
  </w:style>
  <w:style w:type="paragraph" w:styleId="774">
    <w:name w:val="Heading 3"/>
    <w:basedOn w:val="941"/>
    <w:next w:val="941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5">
    <w:name w:val="Heading 3 Char"/>
    <w:basedOn w:val="942"/>
    <w:link w:val="774"/>
    <w:uiPriority w:val="9"/>
    <w:rPr>
      <w:rFonts w:ascii="Arial" w:hAnsi="Arial" w:eastAsia="Arial" w:cs="Arial"/>
      <w:sz w:val="30"/>
      <w:szCs w:val="30"/>
    </w:rPr>
  </w:style>
  <w:style w:type="paragraph" w:styleId="776">
    <w:name w:val="Heading 4"/>
    <w:basedOn w:val="941"/>
    <w:next w:val="941"/>
    <w:link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7">
    <w:name w:val="Heading 4 Char"/>
    <w:basedOn w:val="942"/>
    <w:link w:val="776"/>
    <w:uiPriority w:val="9"/>
    <w:rPr>
      <w:rFonts w:ascii="Arial" w:hAnsi="Arial" w:eastAsia="Arial" w:cs="Arial"/>
      <w:b/>
      <w:bCs/>
      <w:sz w:val="26"/>
      <w:szCs w:val="26"/>
    </w:rPr>
  </w:style>
  <w:style w:type="paragraph" w:styleId="778">
    <w:name w:val="Heading 5"/>
    <w:basedOn w:val="941"/>
    <w:next w:val="941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9">
    <w:name w:val="Heading 5 Char"/>
    <w:basedOn w:val="942"/>
    <w:link w:val="778"/>
    <w:uiPriority w:val="9"/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941"/>
    <w:next w:val="941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1">
    <w:name w:val="Heading 6 Char"/>
    <w:basedOn w:val="942"/>
    <w:link w:val="780"/>
    <w:uiPriority w:val="9"/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941"/>
    <w:next w:val="941"/>
    <w:link w:val="7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3">
    <w:name w:val="Heading 7 Char"/>
    <w:basedOn w:val="942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4">
    <w:name w:val="Heading 8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5">
    <w:name w:val="Heading 8 Char"/>
    <w:basedOn w:val="942"/>
    <w:link w:val="784"/>
    <w:uiPriority w:val="9"/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941"/>
    <w:next w:val="941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>
    <w:name w:val="Heading 9 Char"/>
    <w:basedOn w:val="942"/>
    <w:link w:val="786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No Spacing"/>
    <w:uiPriority w:val="1"/>
    <w:qFormat/>
    <w:pPr>
      <w:spacing w:before="0" w:after="0" w:line="240" w:lineRule="auto"/>
    </w:pPr>
  </w:style>
  <w:style w:type="paragraph" w:styleId="789">
    <w:name w:val="Title"/>
    <w:basedOn w:val="941"/>
    <w:next w:val="941"/>
    <w:link w:val="7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0">
    <w:name w:val="Title Char"/>
    <w:basedOn w:val="942"/>
    <w:link w:val="789"/>
    <w:uiPriority w:val="10"/>
    <w:rPr>
      <w:sz w:val="48"/>
      <w:szCs w:val="48"/>
    </w:rPr>
  </w:style>
  <w:style w:type="paragraph" w:styleId="791">
    <w:name w:val="Subtitle"/>
    <w:basedOn w:val="941"/>
    <w:next w:val="941"/>
    <w:link w:val="792"/>
    <w:uiPriority w:val="11"/>
    <w:qFormat/>
    <w:pPr>
      <w:spacing w:before="200" w:after="200"/>
    </w:pPr>
    <w:rPr>
      <w:sz w:val="24"/>
      <w:szCs w:val="24"/>
    </w:rPr>
  </w:style>
  <w:style w:type="character" w:styleId="792">
    <w:name w:val="Subtitle Char"/>
    <w:basedOn w:val="942"/>
    <w:link w:val="791"/>
    <w:uiPriority w:val="11"/>
    <w:rPr>
      <w:sz w:val="24"/>
      <w:szCs w:val="24"/>
    </w:rPr>
  </w:style>
  <w:style w:type="paragraph" w:styleId="793">
    <w:name w:val="Quote"/>
    <w:basedOn w:val="941"/>
    <w:next w:val="941"/>
    <w:link w:val="794"/>
    <w:uiPriority w:val="29"/>
    <w:qFormat/>
    <w:pPr>
      <w:ind w:left="720" w:right="720"/>
    </w:pPr>
    <w:rPr>
      <w:i/>
    </w:rPr>
  </w:style>
  <w:style w:type="character" w:styleId="794">
    <w:name w:val="Quote Char"/>
    <w:link w:val="793"/>
    <w:uiPriority w:val="29"/>
    <w:rPr>
      <w:i/>
    </w:rPr>
  </w:style>
  <w:style w:type="paragraph" w:styleId="795">
    <w:name w:val="Intense Quote"/>
    <w:basedOn w:val="941"/>
    <w:next w:val="941"/>
    <w:link w:val="7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>
    <w:name w:val="Intense Quote Char"/>
    <w:link w:val="795"/>
    <w:uiPriority w:val="30"/>
    <w:rPr>
      <w:i/>
    </w:rPr>
  </w:style>
  <w:style w:type="character" w:styleId="797">
    <w:name w:val="Header Char"/>
    <w:basedOn w:val="942"/>
    <w:link w:val="947"/>
    <w:uiPriority w:val="99"/>
  </w:style>
  <w:style w:type="character" w:styleId="798">
    <w:name w:val="Footer Char"/>
    <w:basedOn w:val="942"/>
    <w:link w:val="949"/>
    <w:uiPriority w:val="99"/>
  </w:style>
  <w:style w:type="paragraph" w:styleId="799">
    <w:name w:val="Caption"/>
    <w:basedOn w:val="941"/>
    <w:next w:val="9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0">
    <w:name w:val="Caption Char"/>
    <w:basedOn w:val="799"/>
    <w:link w:val="949"/>
    <w:uiPriority w:val="99"/>
  </w:style>
  <w:style w:type="table" w:styleId="801">
    <w:name w:val="Table Grid Light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Plain Table 1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2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>
    <w:name w:val="Grid Table 4 - Accent 1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0">
    <w:name w:val="Grid Table 4 - Accent 2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Grid Table 4 - Accent 3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2">
    <w:name w:val="Grid Table 4 - Accent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Grid Table 4 - Accent 5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4">
    <w:name w:val="Grid Table 4 - Accent 6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5">
    <w:name w:val="Grid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2">
    <w:name w:val="Grid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3">
    <w:name w:val="Grid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4">
    <w:name w:val="Grid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5">
    <w:name w:val="Grid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6">
    <w:name w:val="Grid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7">
    <w:name w:val="Grid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4">
    <w:name w:val="List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5">
    <w:name w:val="List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6">
    <w:name w:val="List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7">
    <w:name w:val="List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8">
    <w:name w:val="List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9">
    <w:name w:val="List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2">
    <w:name w:val="List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3">
    <w:name w:val="List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4">
    <w:name w:val="List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5">
    <w:name w:val="List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6">
    <w:name w:val="List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7">
    <w:name w:val="List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8">
    <w:name w:val="List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9">
    <w:name w:val="List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0">
    <w:name w:val="List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1">
    <w:name w:val="List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2">
    <w:name w:val="List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3">
    <w:name w:val="List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4">
    <w:name w:val="List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5">
    <w:name w:val="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 &amp; 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Bordered &amp; 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4">
    <w:name w:val="Bordered &amp; 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5">
    <w:name w:val="Bordered &amp; 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6">
    <w:name w:val="Bordered &amp; 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7">
    <w:name w:val="Bordered &amp; 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8">
    <w:name w:val="Bordered &amp; 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9">
    <w:name w:val="Bordered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0">
    <w:name w:val="Bordered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1">
    <w:name w:val="Bordered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2">
    <w:name w:val="Bordered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3">
    <w:name w:val="Bordered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4">
    <w:name w:val="Bordered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5">
    <w:name w:val="Bordered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6">
    <w:name w:val="Footnote Text Char"/>
    <w:link w:val="954"/>
    <w:uiPriority w:val="99"/>
    <w:rPr>
      <w:sz w:val="18"/>
    </w:rPr>
  </w:style>
  <w:style w:type="paragraph" w:styleId="927">
    <w:name w:val="endnote text"/>
    <w:basedOn w:val="94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>
    <w:name w:val="Endnote Text Char"/>
    <w:link w:val="927"/>
    <w:uiPriority w:val="99"/>
    <w:rPr>
      <w:sz w:val="20"/>
    </w:rPr>
  </w:style>
  <w:style w:type="character" w:styleId="929">
    <w:name w:val="endnote reference"/>
    <w:basedOn w:val="942"/>
    <w:uiPriority w:val="99"/>
    <w:semiHidden/>
    <w:unhideWhenUsed/>
    <w:rPr>
      <w:vertAlign w:val="superscript"/>
    </w:rPr>
  </w:style>
  <w:style w:type="paragraph" w:styleId="930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941"/>
    <w:next w:val="941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</w:style>
  <w:style w:type="character" w:styleId="942" w:default="1">
    <w:name w:val="Default Paragraph Font"/>
    <w:uiPriority w:val="1"/>
    <w:semiHidden/>
    <w:unhideWhenUsed/>
  </w:style>
  <w:style w:type="table" w:styleId="9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4" w:default="1">
    <w:name w:val="No List"/>
    <w:uiPriority w:val="99"/>
    <w:semiHidden/>
    <w:unhideWhenUsed/>
  </w:style>
  <w:style w:type="table" w:styleId="945">
    <w:name w:val="Table Grid"/>
    <w:basedOn w:val="94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6">
    <w:name w:val="List Paragraph"/>
    <w:basedOn w:val="941"/>
    <w:uiPriority w:val="34"/>
    <w:qFormat/>
    <w:pPr>
      <w:contextualSpacing/>
      <w:ind w:left="720"/>
    </w:pPr>
  </w:style>
  <w:style w:type="paragraph" w:styleId="947">
    <w:name w:val="Header"/>
    <w:basedOn w:val="941"/>
    <w:link w:val="948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8" w:customStyle="1">
    <w:name w:val="Верхний колонтитул Знак"/>
    <w:basedOn w:val="942"/>
    <w:link w:val="947"/>
  </w:style>
  <w:style w:type="paragraph" w:styleId="949">
    <w:name w:val="Footer"/>
    <w:basedOn w:val="941"/>
    <w:link w:val="95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0" w:customStyle="1">
    <w:name w:val="Нижний колонтитул Знак"/>
    <w:basedOn w:val="942"/>
    <w:link w:val="949"/>
    <w:uiPriority w:val="99"/>
  </w:style>
  <w:style w:type="paragraph" w:styleId="951">
    <w:name w:val="Balloon Text"/>
    <w:basedOn w:val="941"/>
    <w:link w:val="95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52" w:customStyle="1">
    <w:name w:val="Текст выноски Знак"/>
    <w:basedOn w:val="942"/>
    <w:link w:val="951"/>
    <w:uiPriority w:val="99"/>
    <w:semiHidden/>
    <w:rPr>
      <w:rFonts w:ascii="Segoe UI" w:hAnsi="Segoe UI" w:cs="Segoe UI"/>
      <w:sz w:val="18"/>
      <w:szCs w:val="18"/>
    </w:rPr>
  </w:style>
  <w:style w:type="paragraph" w:styleId="953" w:customStyle="1">
    <w:name w:val="text"/>
    <w:basedOn w:val="941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4">
    <w:name w:val="footnote text"/>
    <w:basedOn w:val="941"/>
    <w:link w:val="955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55" w:customStyle="1">
    <w:name w:val="Текст сноски Знак"/>
    <w:basedOn w:val="942"/>
    <w:link w:val="95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56">
    <w:name w:val="footnote reference"/>
    <w:rPr>
      <w:vertAlign w:val="superscript"/>
    </w:rPr>
  </w:style>
  <w:style w:type="character" w:styleId="957">
    <w:name w:val="Hyperlink"/>
    <w:basedOn w:val="942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19AC9-3B9F-4183-BD1E-5427D041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Зюзин Сергей Сергеевич</dc:creator>
  <cp:revision>53</cp:revision>
  <dcterms:created xsi:type="dcterms:W3CDTF">2017-11-29T00:23:00Z</dcterms:created>
  <dcterms:modified xsi:type="dcterms:W3CDTF">2025-04-30T01:22:39Z</dcterms:modified>
</cp:coreProperties>
</file>